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EFD5E" w14:textId="77777777" w:rsidR="00A819FB" w:rsidRPr="00063D30" w:rsidRDefault="00A819FB" w:rsidP="00A819FB">
      <w:pPr>
        <w:jc w:val="center"/>
        <w:rPr>
          <w:rFonts w:cs="Arial"/>
          <w:b/>
          <w:bCs/>
        </w:rPr>
      </w:pPr>
      <w:r w:rsidRPr="00063D30">
        <w:rPr>
          <w:rFonts w:cs="Arial"/>
          <w:b/>
          <w:bCs/>
        </w:rPr>
        <w:t>IN THE SUPERIOR COURT OF THE STATE OF ARIZONA</w:t>
      </w:r>
    </w:p>
    <w:p w14:paraId="3E5ACEA6" w14:textId="77777777" w:rsidR="00A819FB" w:rsidRPr="00063D30" w:rsidRDefault="00A819FB" w:rsidP="00A819FB">
      <w:pPr>
        <w:jc w:val="center"/>
        <w:rPr>
          <w:rFonts w:cs="Arial"/>
          <w:b/>
          <w:bCs/>
        </w:rPr>
      </w:pPr>
      <w:r w:rsidRPr="00063D30">
        <w:rPr>
          <w:rFonts w:cs="Arial"/>
          <w:b/>
          <w:bCs/>
        </w:rPr>
        <w:t>IN AND FOR THE COUNTY OF &lt;County&gt;</w:t>
      </w:r>
    </w:p>
    <w:p w14:paraId="3CB6856E" w14:textId="77777777" w:rsidR="00A819FB" w:rsidRDefault="00A819FB" w:rsidP="00A819FB">
      <w:pPr>
        <w:rPr>
          <w:rFonts w:cs="Arial"/>
        </w:rPr>
      </w:pPr>
    </w:p>
    <w:p w14:paraId="41299F9B" w14:textId="77777777" w:rsidR="00A819FB" w:rsidRPr="00063D30" w:rsidRDefault="00A819FB" w:rsidP="00A819FB">
      <w:pPr>
        <w:rPr>
          <w:rFonts w:cs="Arial"/>
          <w:b/>
        </w:rPr>
      </w:pPr>
      <w:r w:rsidRPr="00063D30">
        <w:rPr>
          <w:rFonts w:cs="Arial"/>
          <w:b/>
        </w:rPr>
        <w:t>Date:</w:t>
      </w:r>
    </w:p>
    <w:p w14:paraId="74DCE48F" w14:textId="77777777" w:rsidR="00A819FB" w:rsidRPr="00063D30" w:rsidRDefault="00A819FB" w:rsidP="00A819FB">
      <w:pPr>
        <w:rPr>
          <w:rFonts w:cs="Arial"/>
          <w:b/>
        </w:rPr>
      </w:pPr>
      <w:r w:rsidRPr="00063D30">
        <w:rPr>
          <w:rFonts w:cs="Arial"/>
          <w:b/>
        </w:rPr>
        <w:t>Judicial Officer:</w:t>
      </w:r>
    </w:p>
    <w:p w14:paraId="59392753" w14:textId="77777777" w:rsidR="00A819FB" w:rsidRPr="00F030B8" w:rsidRDefault="00A819FB" w:rsidP="00A819FB">
      <w:pPr>
        <w:rPr>
          <w:rFonts w:cs="Arial"/>
        </w:rPr>
      </w:pPr>
      <w:r w:rsidRPr="00063D30">
        <w:rPr>
          <w:rFonts w:cs="Arial"/>
          <w:b/>
        </w:rPr>
        <w:t>Deputy Clerk:</w:t>
      </w:r>
    </w:p>
    <w:p w14:paraId="00A69238" w14:textId="77777777" w:rsidR="00A819FB" w:rsidRDefault="00A819FB" w:rsidP="00A819FB">
      <w:pPr>
        <w:rPr>
          <w:rFonts w:cs="Arial"/>
        </w:rPr>
      </w:pPr>
    </w:p>
    <w:p w14:paraId="11441383" w14:textId="77777777" w:rsidR="00A819FB" w:rsidRPr="00F030B8" w:rsidRDefault="00A819FB" w:rsidP="00A819FB">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t>No.</w:t>
      </w:r>
    </w:p>
    <w:p w14:paraId="7BAD3FA9" w14:textId="77777777" w:rsidR="00A819FB" w:rsidRDefault="00A819FB" w:rsidP="00A819FB">
      <w:pPr>
        <w:rPr>
          <w:rFonts w:cs="Arial"/>
        </w:rPr>
      </w:pPr>
    </w:p>
    <w:p w14:paraId="40702F24" w14:textId="77777777" w:rsidR="00A819FB" w:rsidRPr="00063D30" w:rsidRDefault="00A819FB" w:rsidP="00A819FB">
      <w:pPr>
        <w:jc w:val="right"/>
      </w:pPr>
      <w:r w:rsidRPr="00063D30">
        <w:t>IN-HOME INTERVENTION REVIEW HEARING</w:t>
      </w:r>
    </w:p>
    <w:p w14:paraId="2ACD5A29" w14:textId="77777777" w:rsidR="00A819FB" w:rsidRDefault="00A819FB" w:rsidP="00A819FB">
      <w:pPr>
        <w:rPr>
          <w:rFonts w:cs="Arial"/>
        </w:rPr>
      </w:pPr>
    </w:p>
    <w:p w14:paraId="2308A7D2" w14:textId="77777777" w:rsidR="00A819FB" w:rsidRPr="00063D30" w:rsidRDefault="00A819FB" w:rsidP="00A819FB">
      <w:pPr>
        <w:rPr>
          <w:rFonts w:cs="Arial"/>
          <w:b/>
        </w:rPr>
      </w:pPr>
      <w:r w:rsidRPr="00063D30">
        <w:rPr>
          <w:rFonts w:cs="Arial"/>
          <w:b/>
        </w:rPr>
        <w:t>Parties Present:</w:t>
      </w:r>
    </w:p>
    <w:p w14:paraId="1E1ADD5C" w14:textId="77777777" w:rsidR="00A819FB" w:rsidRPr="00F030B8" w:rsidRDefault="00A819FB" w:rsidP="00A819FB">
      <w:pPr>
        <w:rPr>
          <w:rFonts w:cs="Arial"/>
        </w:rPr>
      </w:pPr>
      <w:r w:rsidRPr="00F030B8">
        <w:rPr>
          <w:rFonts w:cs="Arial"/>
        </w:rPr>
        <w:t>&lt;party&gt;</w:t>
      </w:r>
    </w:p>
    <w:p w14:paraId="07AAE380" w14:textId="77777777" w:rsidR="00A819FB" w:rsidRPr="00F030B8" w:rsidRDefault="00A819FB" w:rsidP="00A819FB">
      <w:pPr>
        <w:rPr>
          <w:rFonts w:cs="Arial"/>
        </w:rPr>
      </w:pPr>
      <w:r w:rsidRPr="00F030B8">
        <w:rPr>
          <w:rFonts w:cs="Arial"/>
        </w:rPr>
        <w:t>&lt;party&gt;</w:t>
      </w:r>
    </w:p>
    <w:p w14:paraId="41E64725" w14:textId="77777777" w:rsidR="00A819FB" w:rsidRDefault="00A819FB" w:rsidP="00A819FB">
      <w:pPr>
        <w:rPr>
          <w:rFonts w:cs="Arial"/>
        </w:rPr>
      </w:pPr>
    </w:p>
    <w:p w14:paraId="3A441F46" w14:textId="77777777" w:rsidR="00A819FB" w:rsidRPr="00F030B8" w:rsidRDefault="00A819FB" w:rsidP="00A819FB">
      <w:pPr>
        <w:rPr>
          <w:rFonts w:cs="Arial"/>
        </w:rPr>
      </w:pPr>
      <w:r w:rsidRPr="00F030B8">
        <w:rPr>
          <w:rFonts w:cs="Arial"/>
        </w:rPr>
        <w:t xml:space="preserve">This is the time set for the </w:t>
      </w:r>
      <w:r w:rsidRPr="00063D30">
        <w:rPr>
          <w:rFonts w:cs="Arial"/>
          <w:b/>
        </w:rPr>
        <w:t>IN-HOME INTERVENTION REVIEW HEARING</w:t>
      </w:r>
      <w:r w:rsidRPr="00F030B8">
        <w:rPr>
          <w:rFonts w:cs="Arial"/>
        </w:rPr>
        <w:t xml:space="preserve"> on a dependency petition filed &lt;Date of in-home dependency petition filing&gt;.</w:t>
      </w:r>
    </w:p>
    <w:p w14:paraId="6270892F" w14:textId="77777777" w:rsidR="00A819FB" w:rsidRDefault="00A819FB" w:rsidP="00A819FB">
      <w:pPr>
        <w:rPr>
          <w:rFonts w:cs="Arial"/>
        </w:rPr>
      </w:pPr>
    </w:p>
    <w:p w14:paraId="124BB83A" w14:textId="77777777" w:rsidR="00A819FB" w:rsidRPr="00063D30" w:rsidRDefault="00A819FB" w:rsidP="00A819FB">
      <w:pPr>
        <w:rPr>
          <w:rFonts w:cs="Arial"/>
          <w:b/>
        </w:rPr>
      </w:pPr>
      <w:r w:rsidRPr="00063D30">
        <w:rPr>
          <w:rFonts w:cs="Arial"/>
          <w:b/>
        </w:rPr>
        <w:t>Open Proceedings:</w:t>
      </w:r>
    </w:p>
    <w:p w14:paraId="7DE74EFA" w14:textId="77777777" w:rsidR="00A819FB" w:rsidRPr="00186544" w:rsidRDefault="00A819FB" w:rsidP="00A819FB">
      <w:pPr>
        <w:numPr>
          <w:ilvl w:val="1"/>
          <w:numId w:val="2"/>
        </w:numPr>
        <w:tabs>
          <w:tab w:val="clear" w:pos="1260"/>
        </w:tabs>
        <w:ind w:left="1440" w:hanging="720"/>
        <w:rPr>
          <w:rFonts w:cs="Arial"/>
        </w:rPr>
      </w:pPr>
      <w:r>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possible consequences of violating a court order.</w:t>
      </w:r>
    </w:p>
    <w:p w14:paraId="2DCDB8B8" w14:textId="77777777" w:rsidR="00A819FB" w:rsidRPr="00F030B8" w:rsidRDefault="00A819FB" w:rsidP="00A819FB">
      <w:pPr>
        <w:ind w:left="2160"/>
        <w:rPr>
          <w:rFonts w:cs="Arial"/>
        </w:rPr>
      </w:pPr>
    </w:p>
    <w:p w14:paraId="483433E6" w14:textId="77777777" w:rsidR="00A819FB" w:rsidRPr="00F030B8" w:rsidRDefault="00A819FB" w:rsidP="00A819FB">
      <w:pPr>
        <w:numPr>
          <w:ilvl w:val="0"/>
          <w:numId w:val="1"/>
        </w:numPr>
        <w:tabs>
          <w:tab w:val="clear" w:pos="1260"/>
        </w:tabs>
        <w:ind w:left="1440" w:hanging="720"/>
        <w:rPr>
          <w:rFonts w:cs="Arial"/>
        </w:rPr>
      </w:pPr>
      <w:r w:rsidRPr="00F030B8">
        <w:rPr>
          <w:rFonts w:cs="Arial"/>
        </w:rPr>
        <w:t>The Court orders that the proceeding be closed based on the following: &lt;reason(s) that proceeding should be closed&gt;.</w:t>
      </w:r>
    </w:p>
    <w:p w14:paraId="15B7DC38" w14:textId="77777777" w:rsidR="00A819FB" w:rsidRDefault="00A819FB" w:rsidP="00A819FB">
      <w:pPr>
        <w:rPr>
          <w:rFonts w:cs="Arial"/>
          <w:b/>
        </w:rPr>
      </w:pPr>
    </w:p>
    <w:p w14:paraId="498805C4" w14:textId="77777777" w:rsidR="00A819FB" w:rsidRDefault="00A819FB" w:rsidP="00A819FB">
      <w:pPr>
        <w:rPr>
          <w:rFonts w:cs="Arial"/>
          <w:b/>
        </w:rPr>
      </w:pPr>
      <w:r w:rsidRPr="000871FA">
        <w:rPr>
          <w:rFonts w:cs="Arial"/>
          <w:b/>
        </w:rPr>
        <w:t>Attorney/GAL Contact with Child Client:</w:t>
      </w:r>
    </w:p>
    <w:p w14:paraId="02521D9A" w14:textId="77777777" w:rsidR="00A819FB" w:rsidRDefault="00A819FB" w:rsidP="00A819FB">
      <w:pPr>
        <w:rPr>
          <w:rFonts w:cs="Arial"/>
        </w:rPr>
      </w:pPr>
    </w:p>
    <w:p w14:paraId="234657EA" w14:textId="77777777" w:rsidR="00A819FB" w:rsidRPr="00F030B8" w:rsidRDefault="00A819FB" w:rsidP="00A819FB">
      <w:pPr>
        <w:ind w:left="1440" w:hanging="720"/>
        <w:rPr>
          <w:rFonts w:cs="Arial"/>
        </w:rPr>
      </w:pPr>
      <w:r>
        <w:rPr>
          <w:rFonts w:ascii="Webdings" w:hAnsi="Webdings" w:cs="Arial"/>
        </w:rPr>
        <w:sym w:font="Webdings" w:char="F063"/>
      </w:r>
      <w:r>
        <w:rPr>
          <w:rFonts w:cs="Arial"/>
        </w:rPr>
        <w:tab/>
        <w:t xml:space="preserve">The Court confirms that the &lt;Attorney/GAL&gt; for the child &lt;has/has not&gt; met with his/her client(s) before this hearing.  </w:t>
      </w:r>
      <w:bookmarkStart w:id="0" w:name="dabmci_df39fb16668649b386230fa44a7f9ea3"/>
      <w:r>
        <w:rPr>
          <w:rFonts w:cs="Arial"/>
          <w:color w:val="0000FF"/>
          <w:u w:val="single"/>
        </w:rPr>
        <w:fldChar w:fldCharType="begin"/>
      </w:r>
      <w:r>
        <w:rPr>
          <w:rFonts w:cs="Arial"/>
          <w:color w:val="0000FF"/>
          <w:u w:val="single"/>
        </w:rPr>
        <w:instrText xml:space="preserve"> HYPERLINK "https://www.westlaw.com/Document/N85218A5068A311DF8B70E24F550ECF49/View/FullText.html?transitionType=Default&amp;contextData=(sc.Default)&amp;VR=3.0&amp;RS=da3.0" </w:instrText>
      </w:r>
      <w:r>
        <w:rPr>
          <w:rFonts w:cs="Arial"/>
          <w:color w:val="0000FF"/>
          <w:u w:val="single"/>
        </w:rPr>
        <w:fldChar w:fldCharType="separate"/>
      </w:r>
      <w:r w:rsidRPr="00273378">
        <w:rPr>
          <w:rFonts w:cs="Arial"/>
          <w:color w:val="0000FF"/>
          <w:u w:val="single"/>
        </w:rPr>
        <w:t>ARS §8-221(J)</w:t>
      </w:r>
      <w:r>
        <w:rPr>
          <w:rFonts w:cs="Arial"/>
          <w:color w:val="0000FF"/>
          <w:u w:val="single"/>
        </w:rPr>
        <w:fldChar w:fldCharType="end"/>
      </w:r>
      <w:bookmarkStart w:id="1" w:name="dabmen_df39fb16668649b386230fa44a7f9ea3"/>
      <w:bookmarkEnd w:id="0"/>
      <w:bookmarkEnd w:id="1"/>
      <w:r>
        <w:rPr>
          <w:rFonts w:cs="Arial"/>
        </w:rPr>
        <w:t xml:space="preserve">, </w:t>
      </w:r>
      <w:bookmarkStart w:id="2" w:name="dabmci_39e23ffbef4a4ca381bf8f34fefd68e2"/>
      <w:r>
        <w:rPr>
          <w:rFonts w:cs="Arial"/>
          <w:color w:val="0000FF"/>
          <w:u w:val="single"/>
        </w:rPr>
        <w:fldChar w:fldCharType="begin"/>
      </w:r>
      <w:r>
        <w:rPr>
          <w:rFonts w:cs="Arial"/>
          <w:color w:val="0000FF"/>
          <w:u w:val="single"/>
        </w:rPr>
        <w:instrText xml:space="preserve"> HYPERLINK "https://www.westlaw.com/Document/NC16CC450E80B11E0A7AAFBE15C3C65F3/View/FullText.html?transitionType=Default&amp;contextData=(sc.Default)&amp;VR=3.0&amp;RS=da3.0" </w:instrText>
      </w:r>
      <w:r>
        <w:rPr>
          <w:rFonts w:cs="Arial"/>
          <w:color w:val="0000FF"/>
          <w:u w:val="single"/>
        </w:rPr>
        <w:fldChar w:fldCharType="separate"/>
      </w:r>
      <w:proofErr w:type="spellStart"/>
      <w:r w:rsidRPr="0062504D">
        <w:rPr>
          <w:rFonts w:cs="Arial"/>
          <w:color w:val="0000FF"/>
          <w:u w:val="single"/>
        </w:rPr>
        <w:t>Az.R.Juv.Ct.40.1</w:t>
      </w:r>
      <w:proofErr w:type="spellEnd"/>
      <w:r>
        <w:rPr>
          <w:rFonts w:cs="Arial"/>
          <w:color w:val="0000FF"/>
          <w:u w:val="single"/>
        </w:rPr>
        <w:fldChar w:fldCharType="end"/>
      </w:r>
      <w:bookmarkStart w:id="3" w:name="dabmen_39e23ffbef4a4ca381bf8f34fefd68e2"/>
      <w:bookmarkEnd w:id="2"/>
      <w:bookmarkEnd w:id="3"/>
    </w:p>
    <w:p w14:paraId="5CA783F9" w14:textId="77777777" w:rsidR="00A819FB" w:rsidRDefault="00A819FB" w:rsidP="00A819FB">
      <w:pPr>
        <w:rPr>
          <w:rFonts w:cs="Arial"/>
        </w:rPr>
      </w:pPr>
    </w:p>
    <w:p w14:paraId="217EE1BE" w14:textId="77777777" w:rsidR="00A819FB" w:rsidRPr="00F030B8" w:rsidRDefault="00A819FB" w:rsidP="00A819FB">
      <w:pPr>
        <w:rPr>
          <w:rFonts w:cs="Arial"/>
        </w:rPr>
      </w:pPr>
      <w:r w:rsidRPr="00063D30">
        <w:rPr>
          <w:rFonts w:cs="Arial"/>
          <w:b/>
        </w:rPr>
        <w:t>Documents Reviewed:</w:t>
      </w:r>
      <w:r w:rsidRPr="00F030B8">
        <w:rPr>
          <w:rFonts w:cs="Arial"/>
        </w:rPr>
        <w:t xml:space="preserve"> The Court has received and reviewed the following documents:</w:t>
      </w:r>
    </w:p>
    <w:p w14:paraId="1BA6FA49" w14:textId="77777777" w:rsidR="00A819FB" w:rsidRPr="00F030B8" w:rsidRDefault="00A819FB" w:rsidP="00A819FB">
      <w:pPr>
        <w:rPr>
          <w:rFonts w:cs="Arial"/>
        </w:rPr>
      </w:pPr>
      <w:r w:rsidRPr="00F030B8">
        <w:rPr>
          <w:rFonts w:cs="Arial"/>
        </w:rPr>
        <w:t>&lt;names of specific documents&gt;.</w:t>
      </w:r>
    </w:p>
    <w:p w14:paraId="6FDC8833" w14:textId="77777777" w:rsidR="00A819FB" w:rsidRDefault="00A819FB" w:rsidP="00A819FB">
      <w:pPr>
        <w:rPr>
          <w:rFonts w:cs="Arial"/>
        </w:rPr>
      </w:pPr>
    </w:p>
    <w:p w14:paraId="7A6209E1" w14:textId="77777777" w:rsidR="00A819FB" w:rsidRPr="00063D30" w:rsidRDefault="00A819FB" w:rsidP="00A819FB">
      <w:pPr>
        <w:rPr>
          <w:rFonts w:cs="Arial"/>
          <w:b/>
        </w:rPr>
      </w:pPr>
      <w:r w:rsidRPr="00063D30">
        <w:rPr>
          <w:rFonts w:cs="Arial"/>
          <w:b/>
        </w:rPr>
        <w:t>Orders:</w:t>
      </w:r>
    </w:p>
    <w:p w14:paraId="1E21F899" w14:textId="77777777" w:rsidR="00A819FB" w:rsidRPr="00063D30" w:rsidRDefault="00A819FB" w:rsidP="00A819FB">
      <w:pPr>
        <w:numPr>
          <w:ilvl w:val="0"/>
          <w:numId w:val="2"/>
        </w:numPr>
        <w:ind w:hanging="720"/>
        <w:rPr>
          <w:rFonts w:cs="Arial"/>
        </w:rPr>
      </w:pPr>
      <w:r w:rsidRPr="00F030B8">
        <w:rPr>
          <w:rFonts w:cs="Arial"/>
        </w:rPr>
        <w:t xml:space="preserve">The Court finds that the time period set for the in-home intervention during the initial hearing has expired and that there have been no extensions ed. The Court has considered the safety of the child as its paramount concern. </w:t>
      </w:r>
      <w:r w:rsidRPr="009C4F9E">
        <w:rPr>
          <w:rFonts w:cs="Arial"/>
          <w:b/>
        </w:rPr>
        <w:t>The Court, therefore, dismisses the dependency petition.</w:t>
      </w:r>
    </w:p>
    <w:p w14:paraId="184AC2CD" w14:textId="77777777" w:rsidR="00A819FB" w:rsidRPr="00063D30" w:rsidRDefault="00A819FB" w:rsidP="00A819FB">
      <w:pPr>
        <w:numPr>
          <w:ilvl w:val="0"/>
          <w:numId w:val="2"/>
        </w:numPr>
        <w:ind w:hanging="720"/>
        <w:rPr>
          <w:rFonts w:cs="Arial"/>
        </w:rPr>
      </w:pPr>
      <w:r w:rsidRPr="00F030B8">
        <w:rPr>
          <w:rFonts w:cs="Arial"/>
        </w:rPr>
        <w:lastRenderedPageBreak/>
        <w:t>The Court finds that an extension in the time for in-home intervention has been ordered by this Court. The Court, therefore, orders that the &lt;parent, guardian or Indian custodian&gt; participate in the following: &lt;specific training or treatment plan for the parent&gt;.</w:t>
      </w:r>
    </w:p>
    <w:p w14:paraId="071FF550" w14:textId="77777777" w:rsidR="00A819FB" w:rsidRDefault="00A819FB" w:rsidP="00A819FB">
      <w:pPr>
        <w:rPr>
          <w:rFonts w:cs="Arial"/>
        </w:rPr>
      </w:pPr>
    </w:p>
    <w:p w14:paraId="7012B26F" w14:textId="77777777" w:rsidR="00A819FB" w:rsidRPr="00F030B8" w:rsidRDefault="00A819FB" w:rsidP="00A819FB">
      <w:pPr>
        <w:ind w:left="1440"/>
        <w:rPr>
          <w:rFonts w:cs="Arial"/>
        </w:rPr>
      </w:pPr>
      <w:r w:rsidRPr="000B111F">
        <w:rPr>
          <w:rFonts w:cs="Arial"/>
          <w:b/>
        </w:rPr>
        <w:t>The Court affirms its previous order that</w:t>
      </w:r>
      <w:r w:rsidRPr="00F030B8">
        <w:rPr>
          <w:rFonts w:cs="Arial"/>
        </w:rPr>
        <w:t xml:space="preserve"> the in-home intervention shall be completed within &lt;time frame&gt;.</w:t>
      </w:r>
    </w:p>
    <w:p w14:paraId="18544B41" w14:textId="77777777" w:rsidR="00A819FB" w:rsidRDefault="00A819FB" w:rsidP="00A819FB">
      <w:pPr>
        <w:ind w:left="1440"/>
        <w:rPr>
          <w:rFonts w:cs="Arial"/>
        </w:rPr>
      </w:pPr>
    </w:p>
    <w:p w14:paraId="74D7CB0F" w14:textId="77777777" w:rsidR="00A819FB" w:rsidRPr="00F030B8" w:rsidRDefault="00A819FB" w:rsidP="00A819FB">
      <w:pPr>
        <w:rPr>
          <w:rFonts w:cs="Arial"/>
        </w:rPr>
      </w:pPr>
      <w:r w:rsidRPr="00063D30">
        <w:rPr>
          <w:rFonts w:cs="Arial"/>
          <w:b/>
        </w:rPr>
        <w:t>Future Hearings:</w:t>
      </w:r>
      <w:r w:rsidRPr="00F030B8">
        <w:rPr>
          <w:rFonts w:cs="Arial"/>
        </w:rPr>
        <w:t xml:space="preserve"> The Court sets/affirms the following hearings:</w:t>
      </w:r>
    </w:p>
    <w:p w14:paraId="15960579" w14:textId="77777777" w:rsidR="00A819FB" w:rsidRPr="00063D30" w:rsidRDefault="00A819FB" w:rsidP="00A819FB">
      <w:pPr>
        <w:numPr>
          <w:ilvl w:val="0"/>
          <w:numId w:val="2"/>
        </w:numPr>
        <w:ind w:hanging="720"/>
        <w:rPr>
          <w:rFonts w:cs="Arial"/>
        </w:rPr>
      </w:pPr>
      <w:r w:rsidRPr="000B111F">
        <w:rPr>
          <w:rFonts w:cs="Arial"/>
          <w:b/>
        </w:rPr>
        <w:t>An In-Home Intervention Review Hearing</w:t>
      </w:r>
      <w:r w:rsidRPr="00F030B8">
        <w:rPr>
          <w:rFonts w:cs="Arial"/>
        </w:rPr>
        <w:t xml:space="preserve"> is set for &lt;date, time and location of this hearing&gt;.</w:t>
      </w:r>
    </w:p>
    <w:p w14:paraId="375CB2B9" w14:textId="77777777" w:rsidR="00A819FB" w:rsidRDefault="00A819FB" w:rsidP="00A819FB">
      <w:pPr>
        <w:rPr>
          <w:rFonts w:cs="Arial"/>
        </w:rPr>
      </w:pPr>
    </w:p>
    <w:p w14:paraId="7A412CC9" w14:textId="77777777" w:rsidR="00A819FB" w:rsidRPr="005E4F4E" w:rsidRDefault="00A819FB" w:rsidP="00A819FB">
      <w:pPr>
        <w:ind w:left="1440"/>
        <w:rPr>
          <w:rFonts w:cs="Arial"/>
          <w:strike/>
        </w:rPr>
      </w:pPr>
      <w:r w:rsidRPr="000B111F">
        <w:rPr>
          <w:rFonts w:cs="Arial"/>
          <w:b/>
        </w:rPr>
        <w:t>The petitioner shall file</w:t>
      </w:r>
      <w:r w:rsidRPr="00F030B8">
        <w:rPr>
          <w:rFonts w:cs="Arial"/>
        </w:rPr>
        <w:t xml:space="preserve"> a status report with recommendations five days prior to the In-Home Intervention Review Hearing.</w:t>
      </w:r>
    </w:p>
    <w:p w14:paraId="31600319" w14:textId="77777777" w:rsidR="00A819FB" w:rsidRPr="00063D30" w:rsidRDefault="00A819FB" w:rsidP="00A819FB">
      <w:pPr>
        <w:numPr>
          <w:ilvl w:val="0"/>
          <w:numId w:val="2"/>
        </w:numPr>
        <w:ind w:hanging="720"/>
        <w:rPr>
          <w:rFonts w:cs="Arial"/>
        </w:rPr>
      </w:pPr>
      <w:r w:rsidRPr="00F030B8">
        <w:rPr>
          <w:rFonts w:cs="Arial"/>
        </w:rPr>
        <w:t>The Court admonishes the &lt;parent, guardian or Indian custodian&gt; that:</w:t>
      </w:r>
    </w:p>
    <w:p w14:paraId="4B639519" w14:textId="77777777" w:rsidR="00A819FB" w:rsidRPr="00063D30" w:rsidRDefault="00A819FB" w:rsidP="00A819FB">
      <w:pPr>
        <w:numPr>
          <w:ilvl w:val="0"/>
          <w:numId w:val="3"/>
        </w:numPr>
        <w:tabs>
          <w:tab w:val="clear" w:pos="1440"/>
        </w:tabs>
        <w:ind w:left="1800"/>
        <w:rPr>
          <w:rFonts w:cs="Arial"/>
        </w:rPr>
      </w:pPr>
      <w:r w:rsidRPr="00F030B8">
        <w:rPr>
          <w:rFonts w:cs="Arial"/>
        </w:rPr>
        <w:t>Should they violate the in-home intervention order, the Court may take whatever steps it deems necessary to obtain compliance or may rescind the order and set the Dependency Adjudication Hearing.</w:t>
      </w:r>
    </w:p>
    <w:p w14:paraId="465BB0B4" w14:textId="77777777" w:rsidR="00A819FB" w:rsidRDefault="00A819FB" w:rsidP="00A819FB">
      <w:pPr>
        <w:numPr>
          <w:ilvl w:val="0"/>
          <w:numId w:val="3"/>
        </w:numPr>
        <w:tabs>
          <w:tab w:val="clear" w:pos="1440"/>
        </w:tabs>
        <w:ind w:left="1800"/>
        <w:rPr>
          <w:rFonts w:cs="Arial"/>
        </w:rPr>
      </w:pPr>
      <w:r w:rsidRPr="00F030B8">
        <w:rPr>
          <w:rFonts w:cs="Arial"/>
        </w:rPr>
        <w:t>Failure to attend future hearings without good cause shown may result in a finding that they have waived their legal rights and are deemed to have admitted the allegation(s) in the petition.</w:t>
      </w:r>
    </w:p>
    <w:p w14:paraId="4696D450" w14:textId="77777777" w:rsidR="00A819FB" w:rsidRPr="00063D30" w:rsidRDefault="00A819FB" w:rsidP="00A819FB">
      <w:pPr>
        <w:numPr>
          <w:ilvl w:val="0"/>
          <w:numId w:val="3"/>
        </w:numPr>
        <w:tabs>
          <w:tab w:val="clear" w:pos="1440"/>
        </w:tabs>
        <w:ind w:left="1800"/>
        <w:rPr>
          <w:rFonts w:cs="Arial"/>
        </w:rPr>
      </w:pPr>
      <w:r>
        <w:rPr>
          <w:rFonts w:cs="Arial"/>
        </w:rPr>
        <w:t>May read to and provide Form 1A to the parents and have parent sign and return the signed copy to the Court.</w:t>
      </w:r>
    </w:p>
    <w:p w14:paraId="235BE29F" w14:textId="77777777" w:rsidR="00A819FB" w:rsidRDefault="00A819FB" w:rsidP="00A819FB">
      <w:pPr>
        <w:numPr>
          <w:ilvl w:val="0"/>
          <w:numId w:val="2"/>
        </w:numPr>
        <w:ind w:hanging="720"/>
        <w:rPr>
          <w:rFonts w:cs="Arial"/>
        </w:rPr>
      </w:pPr>
      <w:r w:rsidRPr="00F030B8">
        <w:rPr>
          <w:rFonts w:cs="Arial"/>
        </w:rPr>
        <w:t>The Court finds that the parent, guardian, or Indian custodian was advised of the consequences of their failure to attend future hearings or participate in the in-home intervention services.</w:t>
      </w:r>
    </w:p>
    <w:p w14:paraId="1711B446" w14:textId="77777777" w:rsidR="00A819FB" w:rsidRPr="00981ED9" w:rsidRDefault="00A819FB" w:rsidP="00A819FB">
      <w:pPr>
        <w:numPr>
          <w:ilvl w:val="0"/>
          <w:numId w:val="2"/>
        </w:numPr>
        <w:spacing w:after="120"/>
        <w:ind w:hanging="720"/>
        <w:rPr>
          <w:rFonts w:cs="Arial"/>
        </w:rPr>
      </w:pPr>
      <w:r>
        <w:rPr>
          <w:rFonts w:cs="Arial"/>
        </w:rPr>
        <w:t>The Court orders the removal of the child from the home.</w:t>
      </w:r>
    </w:p>
    <w:p w14:paraId="1D3D91FC" w14:textId="77777777" w:rsidR="00A819FB" w:rsidRPr="00981ED9" w:rsidRDefault="00A819FB" w:rsidP="00A819FB">
      <w:pPr>
        <w:numPr>
          <w:ilvl w:val="0"/>
          <w:numId w:val="4"/>
        </w:numPr>
        <w:ind w:left="1800"/>
        <w:rPr>
          <w:rFonts w:cs="Arial"/>
        </w:rPr>
      </w:pPr>
      <w:r>
        <w:rPr>
          <w:rFonts w:cs="Arial"/>
        </w:rPr>
        <w:t>The Court finds it contrary to the welfare of the child to remain in the home due to &lt;factual basis&gt;.</w:t>
      </w:r>
    </w:p>
    <w:p w14:paraId="5E163EFF" w14:textId="77777777" w:rsidR="00A819FB" w:rsidRPr="00981ED9" w:rsidRDefault="00A819FB" w:rsidP="00A819FB">
      <w:pPr>
        <w:numPr>
          <w:ilvl w:val="0"/>
          <w:numId w:val="4"/>
        </w:numPr>
        <w:ind w:left="1800"/>
        <w:rPr>
          <w:rFonts w:cs="Arial"/>
        </w:rPr>
      </w:pPr>
      <w:r>
        <w:rPr>
          <w:rFonts w:cs="Arial"/>
        </w:rPr>
        <w:t>The Court finds the DCS made reasonable efforts to prevent the removal of the child from the home as follows &lt;factual basis&gt;.</w:t>
      </w:r>
    </w:p>
    <w:p w14:paraId="167B9D4C" w14:textId="77777777" w:rsidR="00A819FB" w:rsidRDefault="00A819FB" w:rsidP="00A819FB">
      <w:pPr>
        <w:numPr>
          <w:ilvl w:val="0"/>
          <w:numId w:val="4"/>
        </w:numPr>
        <w:ind w:left="1800"/>
        <w:rPr>
          <w:rFonts w:cs="Arial"/>
        </w:rPr>
      </w:pPr>
      <w:r>
        <w:rPr>
          <w:rFonts w:cs="Arial"/>
        </w:rPr>
        <w:t>In ICWA cases, the Court finds that:</w:t>
      </w:r>
    </w:p>
    <w:p w14:paraId="1F4E2C3A" w14:textId="77777777" w:rsidR="00A819FB" w:rsidRDefault="00A819FB" w:rsidP="00A819FB">
      <w:pPr>
        <w:pStyle w:val="ListParagraph"/>
        <w:numPr>
          <w:ilvl w:val="0"/>
          <w:numId w:val="1"/>
        </w:numPr>
        <w:ind w:left="1800" w:firstLine="0"/>
        <w:rPr>
          <w:rFonts w:cs="Arial"/>
        </w:rPr>
      </w:pPr>
      <w:r>
        <w:rPr>
          <w:rFonts w:cs="Arial"/>
        </w:rPr>
        <w:t>the removal of the child was necessary to prevent imminent physical damage or harm to the child based on the following &lt;factual basis&gt;.</w:t>
      </w:r>
    </w:p>
    <w:p w14:paraId="150368B7" w14:textId="77777777" w:rsidR="00A819FB" w:rsidRPr="00610EAE" w:rsidRDefault="00A819FB" w:rsidP="00A819FB">
      <w:pPr>
        <w:pStyle w:val="ListParagraph"/>
        <w:numPr>
          <w:ilvl w:val="0"/>
          <w:numId w:val="1"/>
        </w:numPr>
        <w:tabs>
          <w:tab w:val="clear" w:pos="1260"/>
          <w:tab w:val="num" w:pos="1800"/>
        </w:tabs>
        <w:ind w:left="1800" w:firstLine="0"/>
        <w:rPr>
          <w:rFonts w:cs="Arial"/>
        </w:rPr>
      </w:pPr>
      <w:r w:rsidRPr="00610EAE">
        <w:rPr>
          <w:rFonts w:cs="Arial"/>
        </w:rPr>
        <w:t>the parent’s continued custody of the child is likely to result in serious emotional or physical damage to the child as supported by the testimony of a qualified expert witness and the following &lt;factual basis&gt;.</w:t>
      </w:r>
    </w:p>
    <w:p w14:paraId="3ED4FE6F" w14:textId="77777777" w:rsidR="00A819FB" w:rsidRPr="00063D30" w:rsidRDefault="00A819FB" w:rsidP="00A819FB">
      <w:pPr>
        <w:numPr>
          <w:ilvl w:val="0"/>
          <w:numId w:val="2"/>
        </w:numPr>
        <w:ind w:hanging="720"/>
        <w:rPr>
          <w:rFonts w:cs="Arial"/>
        </w:rPr>
      </w:pPr>
      <w:r>
        <w:rPr>
          <w:rFonts w:cs="Arial"/>
        </w:rPr>
        <w:lastRenderedPageBreak/>
        <w:t xml:space="preserve">It is ordered setting this matter for a Dependency Adjudication &lt;date, time and location of hearing&gt; </w:t>
      </w:r>
    </w:p>
    <w:p w14:paraId="0C31CCE2" w14:textId="77777777" w:rsidR="00A819FB" w:rsidRDefault="00A819FB" w:rsidP="00A819FB">
      <w:pPr>
        <w:rPr>
          <w:rFonts w:cs="Arial"/>
        </w:rPr>
      </w:pPr>
    </w:p>
    <w:p w14:paraId="6D8DA46F" w14:textId="77777777" w:rsidR="00A819FB" w:rsidRDefault="00A819FB" w:rsidP="00A819FB">
      <w:pPr>
        <w:rPr>
          <w:rFonts w:cs="Arial"/>
        </w:rPr>
      </w:pPr>
      <w:r w:rsidRPr="003B3E86">
        <w:rPr>
          <w:rFonts w:cs="Arial"/>
        </w:rPr>
        <w:t>Dated: ____________________________________</w:t>
      </w:r>
    </w:p>
    <w:p w14:paraId="6DEA2836" w14:textId="77777777" w:rsidR="00A819FB" w:rsidRDefault="00A819FB" w:rsidP="00A819FB">
      <w:pPr>
        <w:rPr>
          <w:rFonts w:cs="Arial"/>
        </w:rPr>
      </w:pPr>
    </w:p>
    <w:p w14:paraId="4B15A36A" w14:textId="77777777" w:rsidR="00A819FB" w:rsidRPr="003B3E86" w:rsidRDefault="00A819FB" w:rsidP="00A819FB">
      <w:pPr>
        <w:ind w:left="720"/>
        <w:rPr>
          <w:rFonts w:cs="Arial"/>
        </w:rPr>
      </w:pPr>
      <w:r>
        <w:rPr>
          <w:rFonts w:cs="Arial"/>
        </w:rPr>
        <w:t>___________________________________________________</w:t>
      </w:r>
    </w:p>
    <w:p w14:paraId="182B06D5" w14:textId="77777777" w:rsidR="00A819FB" w:rsidRDefault="00A819FB" w:rsidP="00A819FB">
      <w:pPr>
        <w:ind w:left="720"/>
        <w:rPr>
          <w:rFonts w:cs="Arial"/>
        </w:rPr>
      </w:pPr>
      <w:r w:rsidRPr="00F030B8">
        <w:rPr>
          <w:rFonts w:cs="Arial"/>
        </w:rPr>
        <w:t>&lt;Judge/Commissioner/Hearing Officer&gt; of the Superior Court</w:t>
      </w:r>
    </w:p>
    <w:p w14:paraId="45B1CD61" w14:textId="77777777" w:rsidR="00FC72C9" w:rsidRDefault="00FC72C9" w:rsidP="00A819FB">
      <w:bookmarkStart w:id="4" w:name="_GoBack"/>
      <w:bookmarkEnd w:id="4"/>
    </w:p>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1" w15:restartNumberingAfterBreak="0">
    <w:nsid w:val="5A6B0E7A"/>
    <w:multiLevelType w:val="hybridMultilevel"/>
    <w:tmpl w:val="CAFA826E"/>
    <w:lvl w:ilvl="0" w:tplc="74D45A90">
      <w:numFmt w:val="bullet"/>
      <w:lvlText w:val="•"/>
      <w:lvlJc w:val="left"/>
      <w:pPr>
        <w:ind w:left="1440" w:hanging="360"/>
      </w:pPr>
      <w:rPr>
        <w:rFonts w:ascii="Times New Roman" w:hAnsi="Times New Roman" w:cs="Times New Roman" w:hint="default"/>
        <w:color w:val="auto"/>
        <w:position w:val="0"/>
        <w:sz w:val="24"/>
        <w:szCs w:val="24"/>
      </w:rPr>
    </w:lvl>
    <w:lvl w:ilvl="1" w:tplc="9AC873B6" w:tentative="1">
      <w:start w:val="1"/>
      <w:numFmt w:val="bullet"/>
      <w:lvlText w:val="o"/>
      <w:lvlJc w:val="left"/>
      <w:pPr>
        <w:ind w:left="2160" w:hanging="360"/>
      </w:pPr>
      <w:rPr>
        <w:rFonts w:ascii="Courier New" w:hAnsi="Courier New" w:cs="Courier New" w:hint="default"/>
      </w:rPr>
    </w:lvl>
    <w:lvl w:ilvl="2" w:tplc="773A616E">
      <w:start w:val="1"/>
      <w:numFmt w:val="bullet"/>
      <w:lvlText w:val=""/>
      <w:lvlJc w:val="left"/>
      <w:pPr>
        <w:ind w:left="2880" w:hanging="360"/>
      </w:pPr>
      <w:rPr>
        <w:rFonts w:ascii="Wingdings" w:hAnsi="Wingdings" w:hint="default"/>
      </w:rPr>
    </w:lvl>
    <w:lvl w:ilvl="3" w:tplc="3158587C" w:tentative="1">
      <w:start w:val="1"/>
      <w:numFmt w:val="bullet"/>
      <w:lvlText w:val=""/>
      <w:lvlJc w:val="left"/>
      <w:pPr>
        <w:ind w:left="3600" w:hanging="360"/>
      </w:pPr>
      <w:rPr>
        <w:rFonts w:ascii="Symbol" w:hAnsi="Symbol" w:hint="default"/>
      </w:rPr>
    </w:lvl>
    <w:lvl w:ilvl="4" w:tplc="00AAF7C4" w:tentative="1">
      <w:start w:val="1"/>
      <w:numFmt w:val="bullet"/>
      <w:lvlText w:val="o"/>
      <w:lvlJc w:val="left"/>
      <w:pPr>
        <w:ind w:left="4320" w:hanging="360"/>
      </w:pPr>
      <w:rPr>
        <w:rFonts w:ascii="Courier New" w:hAnsi="Courier New" w:cs="Courier New" w:hint="default"/>
      </w:rPr>
    </w:lvl>
    <w:lvl w:ilvl="5" w:tplc="CD96750E" w:tentative="1">
      <w:start w:val="1"/>
      <w:numFmt w:val="bullet"/>
      <w:lvlText w:val=""/>
      <w:lvlJc w:val="left"/>
      <w:pPr>
        <w:ind w:left="5040" w:hanging="360"/>
      </w:pPr>
      <w:rPr>
        <w:rFonts w:ascii="Wingdings" w:hAnsi="Wingdings" w:hint="default"/>
      </w:rPr>
    </w:lvl>
    <w:lvl w:ilvl="6" w:tplc="0C7436DC" w:tentative="1">
      <w:start w:val="1"/>
      <w:numFmt w:val="bullet"/>
      <w:lvlText w:val=""/>
      <w:lvlJc w:val="left"/>
      <w:pPr>
        <w:ind w:left="5760" w:hanging="360"/>
      </w:pPr>
      <w:rPr>
        <w:rFonts w:ascii="Symbol" w:hAnsi="Symbol" w:hint="default"/>
      </w:rPr>
    </w:lvl>
    <w:lvl w:ilvl="7" w:tplc="EB94168E" w:tentative="1">
      <w:start w:val="1"/>
      <w:numFmt w:val="bullet"/>
      <w:lvlText w:val="o"/>
      <w:lvlJc w:val="left"/>
      <w:pPr>
        <w:ind w:left="6480" w:hanging="360"/>
      </w:pPr>
      <w:rPr>
        <w:rFonts w:ascii="Courier New" w:hAnsi="Courier New" w:cs="Courier New" w:hint="default"/>
      </w:rPr>
    </w:lvl>
    <w:lvl w:ilvl="8" w:tplc="B9D6BE4C" w:tentative="1">
      <w:start w:val="1"/>
      <w:numFmt w:val="bullet"/>
      <w:lvlText w:val=""/>
      <w:lvlJc w:val="left"/>
      <w:pPr>
        <w:ind w:left="7200" w:hanging="360"/>
      </w:pPr>
      <w:rPr>
        <w:rFonts w:ascii="Wingdings" w:hAnsi="Wingdings" w:hint="default"/>
      </w:rPr>
    </w:lvl>
  </w:abstractNum>
  <w:abstractNum w:abstractNumId="2" w15:restartNumberingAfterBreak="0">
    <w:nsid w:val="78105DA7"/>
    <w:multiLevelType w:val="hybridMultilevel"/>
    <w:tmpl w:val="894A8394"/>
    <w:lvl w:ilvl="0" w:tplc="78388D6A">
      <w:numFmt w:val="bullet"/>
      <w:lvlText w:val="•"/>
      <w:lvlJc w:val="left"/>
      <w:pPr>
        <w:tabs>
          <w:tab w:val="num" w:pos="1440"/>
        </w:tabs>
        <w:ind w:left="1440" w:hanging="360"/>
      </w:pPr>
      <w:rPr>
        <w:rFonts w:ascii="Times New Roman" w:hAnsi="Times New Roman" w:cs="Times New Roman" w:hint="default"/>
        <w:b w:val="0"/>
        <w:i w:val="0"/>
        <w:color w:val="auto"/>
        <w:position w:val="0"/>
        <w:sz w:val="24"/>
        <w:szCs w:val="24"/>
      </w:rPr>
    </w:lvl>
    <w:lvl w:ilvl="1" w:tplc="94A4D9A8">
      <w:start w:val="1"/>
      <w:numFmt w:val="lowerLetter"/>
      <w:lvlText w:val="%2."/>
      <w:lvlJc w:val="left"/>
      <w:pPr>
        <w:tabs>
          <w:tab w:val="num" w:pos="2520"/>
        </w:tabs>
        <w:ind w:left="2520" w:hanging="360"/>
      </w:pPr>
    </w:lvl>
    <w:lvl w:ilvl="2" w:tplc="A0C2BB68">
      <w:start w:val="1"/>
      <w:numFmt w:val="decimal"/>
      <w:lvlText w:val="%3."/>
      <w:lvlJc w:val="left"/>
      <w:pPr>
        <w:tabs>
          <w:tab w:val="num" w:pos="3420"/>
        </w:tabs>
        <w:ind w:left="3420" w:hanging="360"/>
      </w:pPr>
      <w:rPr>
        <w:rFonts w:hint="default"/>
      </w:rPr>
    </w:lvl>
    <w:lvl w:ilvl="3" w:tplc="2BB2C0E0" w:tentative="1">
      <w:start w:val="1"/>
      <w:numFmt w:val="decimal"/>
      <w:lvlText w:val="%4."/>
      <w:lvlJc w:val="left"/>
      <w:pPr>
        <w:tabs>
          <w:tab w:val="num" w:pos="3960"/>
        </w:tabs>
        <w:ind w:left="3960" w:hanging="360"/>
      </w:pPr>
    </w:lvl>
    <w:lvl w:ilvl="4" w:tplc="E334E7EE" w:tentative="1">
      <w:start w:val="1"/>
      <w:numFmt w:val="lowerLetter"/>
      <w:lvlText w:val="%5."/>
      <w:lvlJc w:val="left"/>
      <w:pPr>
        <w:tabs>
          <w:tab w:val="num" w:pos="4680"/>
        </w:tabs>
        <w:ind w:left="4680" w:hanging="360"/>
      </w:pPr>
    </w:lvl>
    <w:lvl w:ilvl="5" w:tplc="2FF6502E" w:tentative="1">
      <w:start w:val="1"/>
      <w:numFmt w:val="lowerRoman"/>
      <w:lvlText w:val="%6."/>
      <w:lvlJc w:val="right"/>
      <w:pPr>
        <w:tabs>
          <w:tab w:val="num" w:pos="5400"/>
        </w:tabs>
        <w:ind w:left="5400" w:hanging="180"/>
      </w:pPr>
    </w:lvl>
    <w:lvl w:ilvl="6" w:tplc="5D5E4616" w:tentative="1">
      <w:start w:val="1"/>
      <w:numFmt w:val="decimal"/>
      <w:lvlText w:val="%7."/>
      <w:lvlJc w:val="left"/>
      <w:pPr>
        <w:tabs>
          <w:tab w:val="num" w:pos="6120"/>
        </w:tabs>
        <w:ind w:left="6120" w:hanging="360"/>
      </w:pPr>
    </w:lvl>
    <w:lvl w:ilvl="7" w:tplc="146CD746" w:tentative="1">
      <w:start w:val="1"/>
      <w:numFmt w:val="lowerLetter"/>
      <w:lvlText w:val="%8."/>
      <w:lvlJc w:val="left"/>
      <w:pPr>
        <w:tabs>
          <w:tab w:val="num" w:pos="6840"/>
        </w:tabs>
        <w:ind w:left="6840" w:hanging="360"/>
      </w:pPr>
    </w:lvl>
    <w:lvl w:ilvl="8" w:tplc="3446A888" w:tentative="1">
      <w:start w:val="1"/>
      <w:numFmt w:val="lowerRoman"/>
      <w:lvlText w:val="%9."/>
      <w:lvlJc w:val="right"/>
      <w:pPr>
        <w:tabs>
          <w:tab w:val="num" w:pos="7560"/>
        </w:tabs>
        <w:ind w:left="7560" w:hanging="180"/>
      </w:pPr>
    </w:lvl>
  </w:abstractNum>
  <w:abstractNum w:abstractNumId="3"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FB"/>
    <w:rsid w:val="00A819FB"/>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74FA"/>
  <w15:chartTrackingRefBased/>
  <w15:docId w15:val="{29391A84-0F88-4608-B685-A3E3F573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19FB"/>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9F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E506A-72F6-4730-A017-FE362A6D5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3DAB4-DD38-4538-98F8-9CCE088A72FC}">
  <ds:schemaRefs>
    <ds:schemaRef ds:uri="http://schemas.microsoft.com/sharepoint/v3/contenttype/forms"/>
  </ds:schemaRefs>
</ds:datastoreItem>
</file>

<file path=customXml/itemProps3.xml><?xml version="1.0" encoding="utf-8"?>
<ds:datastoreItem xmlns:ds="http://schemas.openxmlformats.org/officeDocument/2006/customXml" ds:itemID="{826D14E5-8A15-4A53-A531-0F69FA4229CF}">
  <ds:schemaRefs>
    <ds:schemaRef ds:uri="b5edf312-0edb-4ee3-8a94-8400969bfde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7e46d0-2f40-449c-950b-04ad6bc4d8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3541</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2020-12-11T20:51:00Z</dcterms:created>
  <dcterms:modified xsi:type="dcterms:W3CDTF">2020-12-11T20:52:00Z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